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E50893" w:rsidP="00E50893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color w:val="000000" w:themeColor="text1"/>
        </w:rPr>
        <w:t xml:space="preserve">　　　　</w:t>
      </w:r>
      <w:r w:rsidR="00B126B2"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E50893" w:rsidRDefault="00E50893" w:rsidP="00E50893">
      <w:pPr>
        <w:adjustRightInd/>
        <w:ind w:left="405" w:right="-1" w:hangingChars="200" w:hanging="405"/>
        <w:rPr>
          <w:color w:val="000000" w:themeColor="text1"/>
        </w:rPr>
      </w:pPr>
      <w:r>
        <w:rPr>
          <w:color w:val="000000" w:themeColor="text1"/>
        </w:rPr>
        <w:t xml:space="preserve">　　</w:t>
      </w:r>
      <w:r w:rsidR="00273187"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れを生じないための対策を記入し、建物配置計画図、土地利用計画図においてその位置を示すこと）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E50893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334AE9" w:rsidRDefault="00334AE9" w:rsidP="00334AE9">
      <w:pPr>
        <w:adjustRightInd/>
        <w:rPr>
          <w:color w:val="000000" w:themeColor="text1"/>
        </w:rPr>
      </w:pPr>
      <w:bookmarkStart w:id="0" w:name="_GoBack"/>
      <w:bookmarkEnd w:id="0"/>
    </w:p>
    <w:p w:rsidR="00334AE9" w:rsidRPr="00334AE9" w:rsidRDefault="00334AE9" w:rsidP="00334AE9">
      <w:pPr>
        <w:adjustRightInd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（４</w:t>
      </w:r>
      <w:r w:rsidRPr="00334AE9">
        <w:rPr>
          <w:rFonts w:hint="eastAsia"/>
          <w:color w:val="000000" w:themeColor="text1"/>
        </w:rPr>
        <w:t>）被害補償について</w:t>
      </w:r>
    </w:p>
    <w:p w:rsidR="005A0CFD" w:rsidRPr="00C33419" w:rsidRDefault="00334AE9" w:rsidP="00334AE9">
      <w:pPr>
        <w:adjustRightInd/>
        <w:rPr>
          <w:color w:val="000000" w:themeColor="text1"/>
        </w:rPr>
      </w:pPr>
      <w:r w:rsidRPr="00334AE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334AE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4AE9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0893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56EAB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61BB-3A3D-4F0C-B176-73EFCF31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3</cp:revision>
  <cp:lastPrinted>2022-03-08T07:48:00Z</cp:lastPrinted>
  <dcterms:created xsi:type="dcterms:W3CDTF">2025-05-07T02:03:00Z</dcterms:created>
  <dcterms:modified xsi:type="dcterms:W3CDTF">2025-05-22T05:39:00Z</dcterms:modified>
</cp:coreProperties>
</file>